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языка</w:t>
            </w:r>
          </w:p>
          <w:p>
            <w:pPr>
              <w:jc w:val="center"/>
              <w:spacing w:after="0" w:line="240" w:lineRule="auto"/>
              <w:rPr>
                <w:sz w:val="32"/>
                <w:szCs w:val="32"/>
              </w:rPr>
            </w:pPr>
            <w:r>
              <w:rPr>
                <w:rFonts w:ascii="Times New Roman" w:hAnsi="Times New Roman" w:cs="Times New Roman"/>
                <w:color w:val="#000000"/>
                <w:sz w:val="32"/>
                <w:szCs w:val="32"/>
              </w:rPr>
              <w:t> К.М.06.01.08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К.М.06.01.08 «История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94.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К.М.06.01.08 «История русского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left"/>
              <w:spacing w:after="0" w:line="240" w:lineRule="auto"/>
              <w:rPr>
                <w:sz w:val="24"/>
                <w:szCs w:val="24"/>
              </w:rPr>
            </w:pPr>
            <w:r>
              <w:rPr>
                <w:rFonts w:ascii="Times New Roman" w:hAnsi="Times New Roman" w:cs="Times New Roman"/>
                <w:color w:val="#000000"/>
                <w:sz w:val="24"/>
                <w:szCs w:val="24"/>
              </w:rPr>
              <w:t>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w:t>
            </w:r>
          </w:p>
          <w:p>
            <w:pPr>
              <w:jc w:val="left"/>
              <w:spacing w:after="0" w:line="240" w:lineRule="auto"/>
              <w:rPr>
                <w:sz w:val="24"/>
                <w:szCs w:val="24"/>
              </w:rPr>
            </w:pPr>
            <w:r>
              <w:rPr>
                <w:rFonts w:ascii="Times New Roman" w:hAnsi="Times New Roman" w:cs="Times New Roman"/>
                <w:color w:val="#000000"/>
                <w:sz w:val="24"/>
                <w:szCs w:val="24"/>
              </w:rPr>
              <w:t> *а//*ja;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w:t>
            </w:r>
          </w:p>
          <w:p>
            <w:pPr>
              <w:jc w:val="left"/>
              <w:spacing w:after="0" w:line="240" w:lineRule="auto"/>
              <w:rPr>
                <w:sz w:val="24"/>
                <w:szCs w:val="24"/>
              </w:rPr>
            </w:pPr>
            <w:r>
              <w:rPr>
                <w:rFonts w:ascii="Times New Roman" w:hAnsi="Times New Roman" w:cs="Times New Roman"/>
                <w:color w:val="#000000"/>
                <w:sz w:val="24"/>
                <w:szCs w:val="24"/>
              </w:rPr>
              <w:t>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9.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811.8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реконструкции.</w:t>
            </w:r>
          </w:p>
          <w:p>
            <w:pPr>
              <w:jc w:val="both"/>
              <w:spacing w:after="0" w:line="240" w:lineRule="auto"/>
              <w:rPr>
                <w:sz w:val="24"/>
                <w:szCs w:val="24"/>
              </w:rPr>
            </w:pPr>
            <w:r>
              <w:rPr>
                <w:rFonts w:ascii="Times New Roman" w:hAnsi="Times New Roman" w:cs="Times New Roman"/>
                <w:color w:val="#000000"/>
                <w:sz w:val="24"/>
                <w:szCs w:val="24"/>
              </w:rPr>
              <w:t> 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707.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 на *о//*jo, на *ŭ; на *ĭ. История типа склонения с древней основой на согласный.</w:t>
            </w:r>
          </w:p>
          <w:p>
            <w:pPr>
              <w:jc w:val="both"/>
              <w:spacing w:after="0" w:line="240" w:lineRule="auto"/>
              <w:rPr>
                <w:sz w:val="24"/>
                <w:szCs w:val="24"/>
              </w:rPr>
            </w:pPr>
            <w:r>
              <w:rPr>
                <w:rFonts w:ascii="Times New Roman" w:hAnsi="Times New Roman" w:cs="Times New Roman"/>
                <w:color w:val="#000000"/>
                <w:sz w:val="24"/>
                <w:szCs w:val="24"/>
              </w:rPr>
              <w:t> 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2891.9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257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 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1934.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 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pPr>
              <w:jc w:val="both"/>
              <w:spacing w:after="0" w:line="240" w:lineRule="auto"/>
              <w:rPr>
                <w:sz w:val="24"/>
                <w:szCs w:val="24"/>
              </w:rPr>
            </w:pPr>
            <w:r>
              <w:rPr>
                <w:rFonts w:ascii="Times New Roman" w:hAnsi="Times New Roman" w:cs="Times New Roman"/>
                <w:color w:val="#000000"/>
                <w:sz w:val="24"/>
                <w:szCs w:val="24"/>
              </w:rPr>
              <w:t> 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pPr>
              <w:jc w:val="both"/>
              <w:spacing w:after="0" w:line="240" w:lineRule="auto"/>
              <w:rPr>
                <w:sz w:val="24"/>
                <w:szCs w:val="24"/>
              </w:rPr>
            </w:pPr>
            <w:r>
              <w:rPr>
                <w:rFonts w:ascii="Times New Roman" w:hAnsi="Times New Roman" w:cs="Times New Roman"/>
                <w:color w:val="#000000"/>
                <w:sz w:val="24"/>
                <w:szCs w:val="24"/>
              </w:rPr>
              <w:t> 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и задачи исторической фонетики как истории звуковых изменений и фонологических отношений. Основные единицы фонетики: слог, фонема, звук.</w:t>
            </w:r>
          </w:p>
          <w:p>
            <w:pPr>
              <w:jc w:val="both"/>
              <w:spacing w:after="0" w:line="240" w:lineRule="auto"/>
              <w:rPr>
                <w:sz w:val="24"/>
                <w:szCs w:val="24"/>
              </w:rPr>
            </w:pPr>
            <w:r>
              <w:rPr>
                <w:rFonts w:ascii="Times New Roman" w:hAnsi="Times New Roman" w:cs="Times New Roman"/>
                <w:color w:val="#000000"/>
                <w:sz w:val="24"/>
                <w:szCs w:val="24"/>
              </w:rPr>
              <w:t> 2.Слог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3.Фонема как функциональная единица парадигматического плана звуковой системы.</w:t>
            </w:r>
          </w:p>
          <w:p>
            <w:pPr>
              <w:jc w:val="both"/>
              <w:spacing w:after="0" w:line="240" w:lineRule="auto"/>
              <w:rPr>
                <w:sz w:val="24"/>
                <w:szCs w:val="24"/>
              </w:rPr>
            </w:pPr>
            <w:r>
              <w:rPr>
                <w:rFonts w:ascii="Times New Roman" w:hAnsi="Times New Roman" w:cs="Times New Roman"/>
                <w:color w:val="#000000"/>
                <w:sz w:val="24"/>
                <w:szCs w:val="24"/>
              </w:rPr>
              <w:t> 4.Звук языка как основная единица синтагматического плана и наиболее реальная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5.Фонетическая система древнерусского языка эпохи первых письменных памятников (X- X1 вв.).</w:t>
            </w:r>
          </w:p>
          <w:p>
            <w:pPr>
              <w:jc w:val="both"/>
              <w:spacing w:after="0" w:line="240" w:lineRule="auto"/>
              <w:rPr>
                <w:sz w:val="24"/>
                <w:szCs w:val="24"/>
              </w:rPr>
            </w:pPr>
            <w:r>
              <w:rPr>
                <w:rFonts w:ascii="Times New Roman" w:hAnsi="Times New Roman" w:cs="Times New Roman"/>
                <w:color w:val="#000000"/>
                <w:sz w:val="24"/>
                <w:szCs w:val="24"/>
              </w:rPr>
              <w:t> 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7.Вопрос о количественных различиях гласных.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2.Позиционная мена редуцированных. Фонемы &lt;ê&gt; и &lt;ô&gt;. Согласные. Состав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3.Фонетические процессы древнерусского периода. Вторичное смягчение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pPr>
              <w:jc w:val="both"/>
              <w:spacing w:after="0" w:line="240" w:lineRule="auto"/>
              <w:rPr>
                <w:sz w:val="24"/>
                <w:szCs w:val="24"/>
              </w:rPr>
            </w:pPr>
            <w:r>
              <w:rPr>
                <w:rFonts w:ascii="Times New Roman" w:hAnsi="Times New Roman" w:cs="Times New Roman"/>
                <w:color w:val="#000000"/>
                <w:sz w:val="24"/>
                <w:szCs w:val="24"/>
              </w:rPr>
              <w:t> 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 языке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1.Изменение Е в О. Время протекания этого фонетического процесса и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2.Последствия этого изменения для фонетической системы: появление новой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 категории имен. Система склонения имен существительных</w:t>
            </w:r>
          </w:p>
          <w:p>
            <w:pPr>
              <w:jc w:val="center"/>
              <w:spacing w:after="0" w:line="240" w:lineRule="auto"/>
              <w:rPr>
                <w:sz w:val="24"/>
                <w:szCs w:val="24"/>
              </w:rPr>
            </w:pPr>
            <w:r>
              <w:rPr>
                <w:rFonts w:ascii="Times New Roman" w:hAnsi="Times New Roman" w:cs="Times New Roman"/>
                <w:b/>
                <w:color w:val="#000000"/>
                <w:sz w:val="24"/>
                <w:szCs w:val="24"/>
              </w:rPr>
              <w:t> древнерусского языка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1.Общая характеристика морфологического строя древнерусского языка начала письменного периода.</w:t>
            </w:r>
          </w:p>
          <w:p>
            <w:pPr>
              <w:jc w:val="both"/>
              <w:spacing w:after="0" w:line="240" w:lineRule="auto"/>
              <w:rPr>
                <w:sz w:val="24"/>
                <w:szCs w:val="24"/>
              </w:rPr>
            </w:pPr>
            <w:r>
              <w:rPr>
                <w:rFonts w:ascii="Times New Roman" w:hAnsi="Times New Roman" w:cs="Times New Roman"/>
                <w:color w:val="#000000"/>
                <w:sz w:val="24"/>
                <w:szCs w:val="24"/>
              </w:rPr>
              <w:t> 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pPr>
              <w:jc w:val="both"/>
              <w:spacing w:after="0" w:line="240" w:lineRule="auto"/>
              <w:rPr>
                <w:sz w:val="24"/>
                <w:szCs w:val="24"/>
              </w:rPr>
            </w:pPr>
            <w:r>
              <w:rPr>
                <w:rFonts w:ascii="Times New Roman" w:hAnsi="Times New Roman" w:cs="Times New Roman"/>
                <w:color w:val="#000000"/>
                <w:sz w:val="24"/>
                <w:szCs w:val="24"/>
              </w:rPr>
              <w:t> 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pPr>
              <w:jc w:val="both"/>
              <w:spacing w:after="0" w:line="240" w:lineRule="auto"/>
              <w:rPr>
                <w:sz w:val="24"/>
                <w:szCs w:val="24"/>
              </w:rPr>
            </w:pPr>
            <w:r>
              <w:rPr>
                <w:rFonts w:ascii="Times New Roman" w:hAnsi="Times New Roman" w:cs="Times New Roman"/>
                <w:color w:val="#000000"/>
                <w:sz w:val="24"/>
                <w:szCs w:val="24"/>
              </w:rPr>
              <w:t> 5.Древнерусское именное склонение в его отношении к позднепраславянскому и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pPr>
              <w:jc w:val="both"/>
              <w:spacing w:after="0" w:line="240" w:lineRule="auto"/>
              <w:rPr>
                <w:sz w:val="24"/>
                <w:szCs w:val="24"/>
              </w:rPr>
            </w:pPr>
            <w:r>
              <w:rPr>
                <w:rFonts w:ascii="Times New Roman" w:hAnsi="Times New Roman" w:cs="Times New Roman"/>
                <w:color w:val="#000000"/>
                <w:sz w:val="24"/>
                <w:szCs w:val="24"/>
              </w:rPr>
              <w:t> 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pPr>
              <w:jc w:val="both"/>
              <w:spacing w:after="0" w:line="240" w:lineRule="auto"/>
              <w:rPr>
                <w:sz w:val="24"/>
                <w:szCs w:val="24"/>
              </w:rPr>
            </w:pPr>
            <w:r>
              <w:rPr>
                <w:rFonts w:ascii="Times New Roman" w:hAnsi="Times New Roman" w:cs="Times New Roman"/>
                <w:color w:val="#000000"/>
                <w:sz w:val="24"/>
                <w:szCs w:val="24"/>
              </w:rPr>
              <w:t> 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w:t>
            </w:r>
          </w:p>
          <w:p>
            <w:pPr>
              <w:jc w:val="center"/>
              <w:spacing w:after="0" w:line="240" w:lineRule="auto"/>
              <w:rPr>
                <w:sz w:val="24"/>
                <w:szCs w:val="24"/>
              </w:rPr>
            </w:pPr>
            <w:r>
              <w:rPr>
                <w:rFonts w:ascii="Times New Roman" w:hAnsi="Times New Roman" w:cs="Times New Roman"/>
                <w:b/>
                <w:color w:val="#000000"/>
                <w:sz w:val="24"/>
                <w:szCs w:val="24"/>
              </w:rPr>
              <w:t> *а//*ja; на *о//*jo, на *ŭ; на *ĭ. История типа склонения с древней основой на согласный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3.Взаимодействии твердого и мягкого вариантов склонения как отражение общей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pPr>
              <w:jc w:val="both"/>
              <w:spacing w:after="0" w:line="240" w:lineRule="auto"/>
              <w:rPr>
                <w:sz w:val="24"/>
                <w:szCs w:val="24"/>
              </w:rPr>
            </w:pPr>
            <w:r>
              <w:rPr>
                <w:rFonts w:ascii="Times New Roman" w:hAnsi="Times New Roman" w:cs="Times New Roman"/>
                <w:color w:val="#000000"/>
                <w:sz w:val="24"/>
                <w:szCs w:val="24"/>
              </w:rPr>
              <w:t> 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pPr>
              <w:jc w:val="both"/>
              <w:spacing w:after="0" w:line="240" w:lineRule="auto"/>
              <w:rPr>
                <w:sz w:val="24"/>
                <w:szCs w:val="24"/>
              </w:rPr>
            </w:pPr>
            <w:r>
              <w:rPr>
                <w:rFonts w:ascii="Times New Roman" w:hAnsi="Times New Roman" w:cs="Times New Roman"/>
                <w:color w:val="#000000"/>
                <w:sz w:val="24"/>
                <w:szCs w:val="24"/>
              </w:rPr>
              <w:t> 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 языке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4.Типы формообразующих основ глагола. Основа инфинитива. Основа настоящего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причастий. Образование деепричастий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2.Преобразование именных (кратких) форм действительных причастий в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4.Сохранение именных форм страдательных причастий в функции предиката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1.Исторические связи синтаксиса и морфологии. Главные члены предложения,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2.Особенности согласования и управления в древнерусском языке, соотношение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3.Простое предложение. Типы односоставных предложений в древнерусском языке, развитие безличных предложений.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1.Первое южнославянское влияние и связанные с ним культурно-языковые процессы.</w:t>
            </w:r>
          </w:p>
          <w:p>
            <w:pPr>
              <w:jc w:val="both"/>
              <w:spacing w:after="0" w:line="240" w:lineRule="auto"/>
              <w:rPr>
                <w:sz w:val="24"/>
                <w:szCs w:val="24"/>
              </w:rPr>
            </w:pPr>
            <w:r>
              <w:rPr>
                <w:rFonts w:ascii="Times New Roman" w:hAnsi="Times New Roman" w:cs="Times New Roman"/>
                <w:color w:val="#000000"/>
                <w:sz w:val="24"/>
                <w:szCs w:val="24"/>
              </w:rPr>
              <w:t> 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pPr>
              <w:jc w:val="both"/>
              <w:spacing w:after="0" w:line="240" w:lineRule="auto"/>
              <w:rPr>
                <w:sz w:val="24"/>
                <w:szCs w:val="24"/>
              </w:rPr>
            </w:pPr>
            <w:r>
              <w:rPr>
                <w:rFonts w:ascii="Times New Roman" w:hAnsi="Times New Roman" w:cs="Times New Roman"/>
                <w:color w:val="#000000"/>
                <w:sz w:val="24"/>
                <w:szCs w:val="24"/>
              </w:rPr>
              <w:t> 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pPr>
              <w:jc w:val="both"/>
              <w:spacing w:after="0" w:line="240" w:lineRule="auto"/>
              <w:rPr>
                <w:sz w:val="24"/>
                <w:szCs w:val="24"/>
              </w:rPr>
            </w:pPr>
            <w:r>
              <w:rPr>
                <w:rFonts w:ascii="Times New Roman" w:hAnsi="Times New Roman" w:cs="Times New Roman"/>
                <w:color w:val="#000000"/>
                <w:sz w:val="24"/>
                <w:szCs w:val="24"/>
              </w:rPr>
              <w:t> 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pPr>
              <w:jc w:val="both"/>
              <w:spacing w:after="0" w:line="240" w:lineRule="auto"/>
              <w:rPr>
                <w:sz w:val="24"/>
                <w:szCs w:val="24"/>
              </w:rPr>
            </w:pPr>
            <w:r>
              <w:rPr>
                <w:rFonts w:ascii="Times New Roman" w:hAnsi="Times New Roman" w:cs="Times New Roman"/>
                <w:color w:val="#000000"/>
                <w:sz w:val="24"/>
                <w:szCs w:val="24"/>
              </w:rPr>
              <w:t> 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2.Общественно-политическая ситуация в XVIII в. Языковые программы и языковая практика в XVIII в.</w:t>
            </w:r>
          </w:p>
          <w:p>
            <w:pPr>
              <w:jc w:val="both"/>
              <w:spacing w:after="0" w:line="240" w:lineRule="auto"/>
              <w:rPr>
                <w:sz w:val="24"/>
                <w:szCs w:val="24"/>
              </w:rPr>
            </w:pPr>
            <w:r>
              <w:rPr>
                <w:rFonts w:ascii="Times New Roman" w:hAnsi="Times New Roman" w:cs="Times New Roman"/>
                <w:color w:val="#000000"/>
                <w:sz w:val="24"/>
                <w:szCs w:val="24"/>
              </w:rPr>
              <w:t> 3.Общеевропейские лингво-стилистические схемы и специфика русского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4.Проблема отбора языкового материала в процессе нормализации литературного языка.</w:t>
            </w:r>
          </w:p>
          <w:p>
            <w:pPr>
              <w:jc w:val="both"/>
              <w:spacing w:after="0" w:line="240" w:lineRule="auto"/>
              <w:rPr>
                <w:sz w:val="24"/>
                <w:szCs w:val="24"/>
              </w:rPr>
            </w:pPr>
            <w:r>
              <w:rPr>
                <w:rFonts w:ascii="Times New Roman" w:hAnsi="Times New Roman" w:cs="Times New Roman"/>
                <w:color w:val="#000000"/>
                <w:sz w:val="24"/>
                <w:szCs w:val="24"/>
              </w:rPr>
              <w:t> 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pPr>
              <w:jc w:val="both"/>
              <w:spacing w:after="0" w:line="240" w:lineRule="auto"/>
              <w:rPr>
                <w:sz w:val="24"/>
                <w:szCs w:val="24"/>
              </w:rPr>
            </w:pPr>
            <w:r>
              <w:rPr>
                <w:rFonts w:ascii="Times New Roman" w:hAnsi="Times New Roman" w:cs="Times New Roman"/>
                <w:color w:val="#000000"/>
                <w:sz w:val="24"/>
                <w:szCs w:val="24"/>
              </w:rPr>
              <w:t> 8.Дальнейшее развитие ломоносовской программы литературного языка. Различные интерпретации стилистической теории М.В. Ломоносова.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2.Полифонизм поэтики Пушкина: разнородные лингвистические элементы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3.Функции славянизмов и заимствований в творчестве Пушкина. Пушкин как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 происхождение</w:t>
            </w:r>
          </w:p>
          <w:p>
            <w:pPr>
              <w:jc w:val="center"/>
              <w:spacing w:after="0" w:line="240" w:lineRule="auto"/>
              <w:rPr>
                <w:sz w:val="24"/>
                <w:szCs w:val="24"/>
              </w:rPr>
            </w:pPr>
            <w:r>
              <w:rPr>
                <w:rFonts w:ascii="Times New Roman" w:hAnsi="Times New Roman" w:cs="Times New Roman"/>
                <w:b/>
                <w:color w:val="#000000"/>
                <w:sz w:val="24"/>
                <w:szCs w:val="24"/>
              </w:rPr>
              <w:t> гласных и согласных фонем древнерусского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"литературный язык", "языковая ситуация", "диглоссия", "литературное двуязычие", "койне".</w:t>
            </w:r>
          </w:p>
          <w:p>
            <w:pPr>
              <w:jc w:val="left"/>
              <w:spacing w:after="0" w:line="240" w:lineRule="auto"/>
              <w:rPr>
                <w:sz w:val="24"/>
                <w:szCs w:val="24"/>
              </w:rPr>
            </w:pPr>
            <w:r>
              <w:rPr>
                <w:rFonts w:ascii="Times New Roman" w:hAnsi="Times New Roman" w:cs="Times New Roman"/>
                <w:color w:val="#000000"/>
                <w:sz w:val="24"/>
                <w:szCs w:val="24"/>
              </w:rPr>
              <w:t> 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"летопись", "берестяная грамота".</w:t>
            </w:r>
          </w:p>
          <w:p>
            <w:pPr>
              <w:jc w:val="left"/>
              <w:spacing w:after="0" w:line="240" w:lineRule="auto"/>
              <w:rPr>
                <w:sz w:val="24"/>
                <w:szCs w:val="24"/>
              </w:rPr>
            </w:pPr>
            <w:r>
              <w:rPr>
                <w:rFonts w:ascii="Times New Roman" w:hAnsi="Times New Roman" w:cs="Times New Roman"/>
                <w:color w:val="#000000"/>
                <w:sz w:val="24"/>
                <w:szCs w:val="24"/>
              </w:rPr>
              <w:t> 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pPr>
              <w:jc w:val="left"/>
              <w:spacing w:after="0" w:line="240" w:lineRule="auto"/>
              <w:rPr>
                <w:sz w:val="24"/>
                <w:szCs w:val="24"/>
              </w:rPr>
            </w:pPr>
            <w:r>
              <w:rPr>
                <w:rFonts w:ascii="Times New Roman" w:hAnsi="Times New Roman" w:cs="Times New Roman"/>
                <w:color w:val="#000000"/>
                <w:sz w:val="24"/>
                <w:szCs w:val="24"/>
              </w:rPr>
              <w:t> 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"приказный язык", "проста мова".</w:t>
            </w:r>
          </w:p>
          <w:p>
            <w:pPr>
              <w:jc w:val="left"/>
              <w:spacing w:after="0" w:line="240" w:lineRule="auto"/>
              <w:rPr>
                <w:sz w:val="24"/>
                <w:szCs w:val="24"/>
              </w:rPr>
            </w:pPr>
            <w:r>
              <w:rPr>
                <w:rFonts w:ascii="Times New Roman" w:hAnsi="Times New Roman" w:cs="Times New Roman"/>
                <w:color w:val="#000000"/>
                <w:sz w:val="24"/>
                <w:szCs w:val="24"/>
              </w:rPr>
              <w:t> 2. Используя материал работ Б.А.Успенского, Г.А.Хабургаева, В.М.Живова, расскажите о трактовке этими учеными феномена "гибридный язык".</w:t>
            </w:r>
          </w:p>
          <w:p>
            <w:pPr>
              <w:jc w:val="left"/>
              <w:spacing w:after="0" w:line="240" w:lineRule="auto"/>
              <w:rPr>
                <w:sz w:val="24"/>
                <w:szCs w:val="24"/>
              </w:rPr>
            </w:pPr>
            <w:r>
              <w:rPr>
                <w:rFonts w:ascii="Times New Roman" w:hAnsi="Times New Roman" w:cs="Times New Roman"/>
                <w:color w:val="#000000"/>
                <w:sz w:val="24"/>
                <w:szCs w:val="24"/>
              </w:rPr>
              <w:t> 3. Приведите примеры соотношения славянизмов и русизмов в разных главах Домостроя.</w:t>
            </w:r>
          </w:p>
          <w:p>
            <w:pPr>
              <w:jc w:val="left"/>
              <w:spacing w:after="0" w:line="240" w:lineRule="auto"/>
              <w:rPr>
                <w:sz w:val="24"/>
                <w:szCs w:val="24"/>
              </w:rPr>
            </w:pPr>
            <w:r>
              <w:rPr>
                <w:rFonts w:ascii="Times New Roman" w:hAnsi="Times New Roman" w:cs="Times New Roman"/>
                <w:color w:val="#000000"/>
                <w:sz w:val="24"/>
                <w:szCs w:val="24"/>
              </w:rPr>
              <w:t> 4. Дайте определение понятий "второе южнославянское влияние", "книжная справа", "плетение словес".</w:t>
            </w:r>
          </w:p>
          <w:p>
            <w:pPr>
              <w:jc w:val="left"/>
              <w:spacing w:after="0" w:line="240" w:lineRule="auto"/>
              <w:rPr>
                <w:sz w:val="24"/>
                <w:szCs w:val="24"/>
              </w:rPr>
            </w:pPr>
            <w:r>
              <w:rPr>
                <w:rFonts w:ascii="Times New Roman" w:hAnsi="Times New Roman" w:cs="Times New Roman"/>
                <w:color w:val="#000000"/>
                <w:sz w:val="24"/>
                <w:szCs w:val="24"/>
              </w:rPr>
              <w:t> 5. Покажите различие взглядов на проблему второго южнославянского влияния в работах А.И.Соболевского, Г.А.Хабургаева, Л.П.Жуковской.</w:t>
            </w:r>
          </w:p>
          <w:p>
            <w:pPr>
              <w:jc w:val="left"/>
              <w:spacing w:after="0" w:line="240" w:lineRule="auto"/>
              <w:rPr>
                <w:sz w:val="24"/>
                <w:szCs w:val="24"/>
              </w:rPr>
            </w:pPr>
            <w:r>
              <w:rPr>
                <w:rFonts w:ascii="Times New Roman" w:hAnsi="Times New Roman" w:cs="Times New Roman"/>
                <w:color w:val="#000000"/>
                <w:sz w:val="24"/>
                <w:szCs w:val="24"/>
              </w:rPr>
              <w:t> 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21.3147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pPr>
              <w:jc w:val="left"/>
              <w:spacing w:after="0" w:line="240" w:lineRule="auto"/>
              <w:rPr>
                <w:sz w:val="24"/>
                <w:szCs w:val="24"/>
              </w:rPr>
            </w:pPr>
            <w:r>
              <w:rPr>
                <w:rFonts w:ascii="Times New Roman" w:hAnsi="Times New Roman" w:cs="Times New Roman"/>
                <w:color w:val="#000000"/>
                <w:sz w:val="24"/>
                <w:szCs w:val="24"/>
              </w:rPr>
              <w:t> 2.Сопоставьте принципы разграничения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 w:cs="Times New Roman"/>
                <w:color w:val="#000000"/>
                <w:sz w:val="24"/>
                <w:szCs w:val="24"/>
              </w:rPr>
              <w:t> 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pPr>
              <w:jc w:val="left"/>
              <w:spacing w:after="0" w:line="240" w:lineRule="auto"/>
              <w:rPr>
                <w:sz w:val="24"/>
                <w:szCs w:val="24"/>
              </w:rPr>
            </w:pPr>
            <w:r>
              <w:rPr>
                <w:rFonts w:ascii="Times New Roman" w:hAnsi="Times New Roman" w:cs="Times New Roman"/>
                <w:color w:val="#000000"/>
                <w:sz w:val="24"/>
                <w:szCs w:val="24"/>
              </w:rPr>
              <w:t> 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pPr>
              <w:jc w:val="left"/>
              <w:spacing w:after="0" w:line="240" w:lineRule="auto"/>
              <w:rPr>
                <w:sz w:val="24"/>
                <w:szCs w:val="24"/>
              </w:rPr>
            </w:pPr>
            <w:r>
              <w:rPr>
                <w:rFonts w:ascii="Times New Roman" w:hAnsi="Times New Roman" w:cs="Times New Roman"/>
                <w:color w:val="#000000"/>
                <w:sz w:val="24"/>
                <w:szCs w:val="24"/>
              </w:rPr>
              <w:t>  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языка» / Поопова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3.1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2024-2025_ФГОС3++2024_Бак-ОФО-ПО(РЯ)(24)_plx_История русского языка</dc:title>
  <dc:creator>FastReport.NET</dc:creator>
</cp:coreProperties>
</file>